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63996C60" w:rsidR="0064343E" w:rsidRPr="00B524BD" w:rsidRDefault="00251D81" w:rsidP="0064343E">
      <w:pPr>
        <w:pStyle w:val="Datumoben"/>
        <w:spacing w:after="300"/>
        <w:rPr>
          <w:rStyle w:val="Formatvorlage14"/>
          <w:sz w:val="20"/>
          <w:lang w:val="es-ES"/>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B524BD">
        <w:rPr>
          <w:noProof/>
          <w:lang w:val="es-ES"/>
        </w:rPr>
        <w:t>Febrero de 2026</w:t>
      </w:r>
    </w:p>
    <w:p w14:paraId="7AA07FDB" w14:textId="4153BAD7" w:rsidR="0064343E" w:rsidRPr="00B524BD" w:rsidRDefault="0007568B" w:rsidP="006E29B6">
      <w:pPr>
        <w:pStyle w:val="Datumoben"/>
        <w:spacing w:after="0" w:line="240" w:lineRule="auto"/>
        <w:rPr>
          <w:b/>
          <w:bCs/>
          <w:color w:val="262626" w:themeColor="text1" w:themeTint="D9"/>
          <w:sz w:val="48"/>
          <w:szCs w:val="48"/>
          <w:lang w:val="es-ES"/>
        </w:rPr>
      </w:pPr>
      <w:r w:rsidRPr="00B524BD">
        <w:rPr>
          <w:b/>
          <w:bCs/>
          <w:color w:val="262626" w:themeColor="text1" w:themeTint="D9"/>
          <w:sz w:val="48"/>
          <w:szCs w:val="48"/>
          <w:lang w:val="es-ES"/>
        </w:rPr>
        <w:t>Asiga Cure 1.5: ahora validado también para VITA AKZENT LC</w:t>
      </w:r>
    </w:p>
    <w:p w14:paraId="0DF575D3" w14:textId="77777777" w:rsidR="006E29B6" w:rsidRPr="00B524BD" w:rsidRDefault="006E29B6" w:rsidP="008F4097">
      <w:pPr>
        <w:spacing w:line="240" w:lineRule="auto"/>
        <w:rPr>
          <w:rFonts w:cs="Arial"/>
          <w:sz w:val="24"/>
          <w:szCs w:val="24"/>
          <w:lang w:val="es-ES"/>
        </w:rPr>
      </w:pPr>
    </w:p>
    <w:p w14:paraId="6047FA13" w14:textId="7DF5E7F7" w:rsidR="008F4097" w:rsidRDefault="008F4097" w:rsidP="008F4097">
      <w:pPr>
        <w:spacing w:line="240" w:lineRule="auto"/>
        <w:rPr>
          <w:rFonts w:cs="Arial"/>
          <w:sz w:val="24"/>
          <w:szCs w:val="24"/>
        </w:rPr>
      </w:pPr>
      <w:r>
        <w:rPr>
          <w:rFonts w:cs="Arial"/>
          <w:sz w:val="24"/>
          <w:szCs w:val="24"/>
        </w:rPr>
        <w:t xml:space="preserve">La validación correcta de los maquillajes para composite VITA AKZENT LC en el nuevo equipo de curado Asiga Cure 1.5 abre la puerta a nuevas posibilidades: además del curado de materiales de impresión (p. ej., VITA VIONIC RESINS), ahora también se puede polimerizar de manera fiable el sistema de maquillajes VITA AKZENT LC mediante </w:t>
      </w:r>
      <w:r>
        <w:rPr>
          <w:rFonts w:cs="Arial"/>
          <w:b/>
          <w:bCs/>
          <w:sz w:val="24"/>
          <w:szCs w:val="24"/>
        </w:rPr>
        <w:t>el mismo</w:t>
      </w:r>
      <w:r>
        <w:rPr>
          <w:rFonts w:cs="Arial"/>
          <w:sz w:val="24"/>
          <w:szCs w:val="24"/>
        </w:rPr>
        <w:t xml:space="preserve"> equipo. </w:t>
      </w:r>
    </w:p>
    <w:p w14:paraId="6A34FBCF" w14:textId="77777777" w:rsidR="006F0372" w:rsidRDefault="006F0372" w:rsidP="008F4097">
      <w:pPr>
        <w:spacing w:line="240" w:lineRule="auto"/>
        <w:rPr>
          <w:rFonts w:cs="Arial"/>
          <w:sz w:val="24"/>
          <w:szCs w:val="24"/>
        </w:rPr>
      </w:pPr>
    </w:p>
    <w:p w14:paraId="34E456EE" w14:textId="77777777" w:rsidR="006F0372" w:rsidRDefault="006F0372" w:rsidP="006F0372">
      <w:pPr>
        <w:spacing w:line="240" w:lineRule="auto"/>
        <w:rPr>
          <w:rFonts w:cs="Arial"/>
          <w:b/>
          <w:bCs/>
          <w:color w:val="DC0064" w:themeColor="accent1"/>
          <w:sz w:val="24"/>
          <w:szCs w:val="24"/>
        </w:rPr>
      </w:pPr>
    </w:p>
    <w:p w14:paraId="58936D3D" w14:textId="77777777"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VITA AKZENT LC: color y carácter en el flujo de trabajo digital</w:t>
      </w:r>
    </w:p>
    <w:p w14:paraId="228892C4" w14:textId="0028AC88" w:rsidR="008F4097" w:rsidRPr="008F4097" w:rsidRDefault="008F4097" w:rsidP="008F4097">
      <w:pPr>
        <w:spacing w:line="240" w:lineRule="auto"/>
        <w:rPr>
          <w:rFonts w:cs="Arial"/>
          <w:sz w:val="24"/>
          <w:szCs w:val="24"/>
        </w:rPr>
      </w:pPr>
      <w:bookmarkStart w:id="1" w:name="_Hlk198108416"/>
      <w:bookmarkEnd w:id="1"/>
    </w:p>
    <w:p w14:paraId="27A78418" w14:textId="77777777" w:rsidR="0007568B" w:rsidRPr="006E29B6" w:rsidRDefault="00265256" w:rsidP="0007568B">
      <w:pPr>
        <w:spacing w:line="240" w:lineRule="auto"/>
        <w:rPr>
          <w:rFonts w:cs="Arial"/>
          <w:sz w:val="24"/>
          <w:szCs w:val="24"/>
        </w:rPr>
      </w:pPr>
      <w:r>
        <w:rPr>
          <w:rFonts w:cs="Arial"/>
          <w:sz w:val="24"/>
          <w:szCs w:val="24"/>
        </w:rPr>
        <w:t xml:space="preserve">VITA AKZENT LC introduce color y carácter en el flujo de trabajo digital. </w:t>
      </w:r>
    </w:p>
    <w:p w14:paraId="487B35AC" w14:textId="77777777" w:rsidR="0007568B" w:rsidRPr="006E29B6" w:rsidRDefault="0007568B" w:rsidP="0007568B">
      <w:pPr>
        <w:spacing w:line="240" w:lineRule="auto"/>
        <w:rPr>
          <w:rFonts w:cs="Arial"/>
          <w:sz w:val="24"/>
          <w:szCs w:val="24"/>
        </w:rPr>
      </w:pPr>
      <w:r>
        <w:rPr>
          <w:rFonts w:cs="Arial"/>
          <w:sz w:val="24"/>
          <w:szCs w:val="24"/>
        </w:rPr>
        <w:t>Las restauraciones monolíticas a partir de cerámica híbrida, composite o polímero convencen a un número creciente de usuarios como alternativa sencilla, eficiente y económica a la restauración de cerámica integral.</w:t>
      </w:r>
    </w:p>
    <w:p w14:paraId="22126B4F" w14:textId="11EA0DD5" w:rsidR="0064343E" w:rsidRPr="008F4097" w:rsidRDefault="008F4097" w:rsidP="00265256">
      <w:pPr>
        <w:spacing w:line="240" w:lineRule="auto"/>
        <w:rPr>
          <w:rFonts w:cs="Arial"/>
          <w:sz w:val="24"/>
          <w:szCs w:val="24"/>
        </w:rPr>
      </w:pPr>
      <w:r>
        <w:rPr>
          <w:rFonts w:cs="Arial"/>
          <w:sz w:val="24"/>
          <w:szCs w:val="24"/>
        </w:rPr>
        <w:t>Con 14 colores de efectos ricos en matices, VITA AKZENT LC confiere a ese tipo de restauraciones un efecto cromático natural. La estética mejorada constituye una ventaja, especialmente en el caso de los materiales de impresión monocromáticos. Con cuatro colores de croma de aplicación en capa fina, en caso necesario se pueden llevar a cabo ajustes del color dentro de un grupo de colores en VITA classical A1–D4 y en VITA SYSTEM 3D-MASTER.</w:t>
      </w:r>
    </w:p>
    <w:p w14:paraId="07F94C35" w14:textId="77777777" w:rsidR="008F4097" w:rsidRPr="008F4097" w:rsidRDefault="008F4097" w:rsidP="008F4097">
      <w:pPr>
        <w:spacing w:line="240" w:lineRule="auto"/>
        <w:rPr>
          <w:rFonts w:cs="Arial"/>
          <w:sz w:val="24"/>
          <w:szCs w:val="24"/>
        </w:rPr>
      </w:pPr>
    </w:p>
    <w:p w14:paraId="6B7FBA50" w14:textId="5B215BAD"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 xml:space="preserve">Parámetros claros para el curado en el Asiga Cure 1.5: </w:t>
      </w:r>
    </w:p>
    <w:p w14:paraId="60ACA3F0" w14:textId="77777777" w:rsidR="0064343E" w:rsidRPr="008F4097" w:rsidRDefault="0064343E" w:rsidP="008F4097">
      <w:pPr>
        <w:spacing w:line="240" w:lineRule="auto"/>
        <w:rPr>
          <w:rFonts w:cs="Arial"/>
          <w:b/>
          <w:bCs/>
          <w:color w:val="DC0064" w:themeColor="accent1"/>
          <w:sz w:val="24"/>
          <w:szCs w:val="24"/>
        </w:rPr>
      </w:pPr>
    </w:p>
    <w:p w14:paraId="48D45C13" w14:textId="002C0539" w:rsidR="0007568B" w:rsidRDefault="0007568B" w:rsidP="008F4097">
      <w:pPr>
        <w:numPr>
          <w:ilvl w:val="0"/>
          <w:numId w:val="41"/>
        </w:numPr>
        <w:spacing w:line="240" w:lineRule="auto"/>
        <w:rPr>
          <w:rFonts w:cs="Arial"/>
          <w:sz w:val="24"/>
          <w:szCs w:val="24"/>
        </w:rPr>
      </w:pPr>
      <w:r>
        <w:rPr>
          <w:rFonts w:cs="Arial"/>
          <w:sz w:val="24"/>
          <w:szCs w:val="24"/>
        </w:rPr>
        <w:t xml:space="preserve">Modo: “Time Cure” (20-25 °C) </w:t>
      </w:r>
    </w:p>
    <w:p w14:paraId="03B41050" w14:textId="000B33F1" w:rsidR="008F4097" w:rsidRPr="0007568B" w:rsidRDefault="0007568B" w:rsidP="008F4097">
      <w:pPr>
        <w:numPr>
          <w:ilvl w:val="0"/>
          <w:numId w:val="41"/>
        </w:numPr>
        <w:spacing w:line="240" w:lineRule="auto"/>
        <w:rPr>
          <w:rFonts w:cs="Arial"/>
          <w:sz w:val="24"/>
          <w:szCs w:val="24"/>
        </w:rPr>
      </w:pPr>
      <w:r>
        <w:rPr>
          <w:rFonts w:cs="Arial"/>
          <w:sz w:val="24"/>
          <w:szCs w:val="24"/>
        </w:rPr>
        <w:t>2 minutos sin vacío</w:t>
      </w:r>
    </w:p>
    <w:p w14:paraId="6292D784" w14:textId="77777777" w:rsidR="008F4097" w:rsidRPr="0007568B" w:rsidRDefault="008F4097" w:rsidP="008F4097">
      <w:pPr>
        <w:spacing w:line="240" w:lineRule="auto"/>
        <w:rPr>
          <w:rFonts w:cs="Arial"/>
          <w:sz w:val="24"/>
          <w:szCs w:val="24"/>
        </w:rPr>
      </w:pPr>
    </w:p>
    <w:p w14:paraId="0BE40C61" w14:textId="7F97FFD9" w:rsidR="005E7241" w:rsidRDefault="00E82931" w:rsidP="00E82931">
      <w:pPr>
        <w:spacing w:line="240" w:lineRule="auto"/>
        <w:rPr>
          <w:rFonts w:cs="Arial"/>
        </w:rPr>
      </w:pPr>
      <w:r>
        <w:rPr>
          <w:rFonts w:cs="Arial"/>
          <w:sz w:val="24"/>
          <w:szCs w:val="24"/>
        </w:rPr>
        <w:t xml:space="preserve">La validación proporciona un claro valor añadido: los actuales usuarios del Asiga Cure 1.5 se benefician de la ampliación del uso para materiales de impresión y maquillajes para composite. Esto constituye un considerable aumento de la flexibilidad en el uso diario, sin inversiones adicionales. </w:t>
      </w:r>
    </w:p>
    <w:p w14:paraId="16FBB461" w14:textId="77777777" w:rsidR="002744EA" w:rsidRDefault="002744EA" w:rsidP="002D37C9">
      <w:pPr>
        <w:spacing w:line="240" w:lineRule="auto"/>
        <w:rPr>
          <w:rFonts w:cs="Arial"/>
        </w:rPr>
      </w:pPr>
    </w:p>
    <w:p w14:paraId="36FD438B" w14:textId="77777777" w:rsidR="0064343E" w:rsidRDefault="0064343E" w:rsidP="002D37C9">
      <w:pPr>
        <w:spacing w:line="240" w:lineRule="auto"/>
        <w:rPr>
          <w:rFonts w:cs="Arial"/>
        </w:rPr>
      </w:pPr>
    </w:p>
    <w:p w14:paraId="277FEC03" w14:textId="77777777" w:rsidR="0064343E" w:rsidRDefault="0064343E" w:rsidP="002D37C9">
      <w:pPr>
        <w:spacing w:line="240" w:lineRule="auto"/>
        <w:rPr>
          <w:rFonts w:cs="Arial"/>
        </w:rPr>
      </w:pPr>
    </w:p>
    <w:p w14:paraId="0647EA53" w14:textId="508C797D" w:rsidR="008F4097" w:rsidRPr="008F4097" w:rsidRDefault="008F4097" w:rsidP="008F4097">
      <w:pPr>
        <w:spacing w:line="360" w:lineRule="auto"/>
        <w:rPr>
          <w:rFonts w:cs="Arial"/>
          <w:b/>
          <w:bCs/>
          <w:color w:val="DC0064" w:themeColor="accent1"/>
          <w:sz w:val="24"/>
          <w:szCs w:val="24"/>
        </w:rPr>
      </w:pPr>
      <w:r>
        <w:rPr>
          <w:rFonts w:cs="Arial"/>
          <w:b/>
          <w:bCs/>
          <w:color w:val="DC0064" w:themeColor="accent1"/>
          <w:sz w:val="24"/>
          <w:szCs w:val="24"/>
        </w:rPr>
        <w:t>Más información acerca de VITA AKZENT LC</w:t>
      </w:r>
    </w:p>
    <w:p w14:paraId="0FF52C4D" w14:textId="5DD0DF7F" w:rsidR="008F4097" w:rsidRDefault="008F4097" w:rsidP="008F4097">
      <w:pPr>
        <w:spacing w:after="120" w:line="360" w:lineRule="auto"/>
      </w:pPr>
      <w:r>
        <w:rPr>
          <w:rFonts w:cs="Arial"/>
        </w:rPr>
        <w:t xml:space="preserve">Encontrará información general y sobre cursos en </w:t>
      </w:r>
      <w:hyperlink r:id="rId11" w:history="1">
        <w:r>
          <w:rPr>
            <w:rStyle w:val="Hyperlink"/>
            <w:rFonts w:cs="Arial"/>
          </w:rPr>
          <w:t>https://www.vita-zahnfabrik.com/akzentlc_hub</w:t>
        </w:r>
      </w:hyperlink>
    </w:p>
    <w:p w14:paraId="4FC77E63" w14:textId="77777777" w:rsidR="006E29B6" w:rsidRDefault="006E29B6" w:rsidP="008F4097">
      <w:pPr>
        <w:spacing w:after="120" w:line="360" w:lineRule="auto"/>
      </w:pPr>
    </w:p>
    <w:p w14:paraId="010C8CC9" w14:textId="77777777" w:rsidR="006E29B6" w:rsidRDefault="006E29B6" w:rsidP="008F4097">
      <w:pPr>
        <w:spacing w:after="120" w:line="360" w:lineRule="auto"/>
      </w:pPr>
    </w:p>
    <w:p w14:paraId="5C137236" w14:textId="1197BFC8" w:rsidR="006E29B6" w:rsidRDefault="00611950" w:rsidP="008F4097">
      <w:pPr>
        <w:spacing w:after="120" w:line="360" w:lineRule="auto"/>
        <w:rPr>
          <w:rStyle w:val="Formatvorlage14"/>
          <w:rFonts w:cs="Arial"/>
          <w:sz w:val="20"/>
        </w:rPr>
      </w:pPr>
      <w:r>
        <w:rPr>
          <w:noProof/>
        </w:rPr>
        <w:drawing>
          <wp:inline distT="0" distB="0" distL="0" distR="0" wp14:anchorId="384752D5" wp14:editId="44191689">
            <wp:extent cx="1943100" cy="1943100"/>
            <wp:effectExtent l="0" t="0" r="0" b="0"/>
            <wp:docPr id="439188089" name="Grafik 20" descr="Ein Bild, das Text, Clipart, Cartoon,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188089" name="Grafik 20" descr="Ein Bild, das Text, Clipart, Cartoon, Grafikdesign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943100" cy="1943100"/>
                    </a:xfrm>
                    <a:prstGeom prst="rect">
                      <a:avLst/>
                    </a:prstGeom>
                    <a:noFill/>
                    <a:ln>
                      <a:noFill/>
                    </a:ln>
                  </pic:spPr>
                </pic:pic>
              </a:graphicData>
            </a:graphic>
          </wp:inline>
        </w:drawing>
      </w:r>
    </w:p>
    <w:p w14:paraId="47D51A2B" w14:textId="311AF337" w:rsidR="002E4E94" w:rsidRPr="002E4E94" w:rsidRDefault="002E4E94" w:rsidP="002E4E94">
      <w:pPr>
        <w:spacing w:line="240" w:lineRule="auto"/>
        <w:rPr>
          <w:color w:val="4D4D4D" w:themeColor="accent3"/>
          <w:sz w:val="18"/>
          <w:szCs w:val="18"/>
        </w:rPr>
      </w:pPr>
      <w:r>
        <w:rPr>
          <w:color w:val="4D4D4D" w:themeColor="accent3"/>
          <w:sz w:val="18"/>
          <w:szCs w:val="18"/>
        </w:rPr>
        <w:t>Fig. 1: Asiga Cure 1.5, ahora validado también para VITA AKZENT LC.</w:t>
      </w: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empresa familiar del sector dental VITA Zahnfabrik H. Rauter GmbH &amp; Co. KG, gestionada por la cuarta generación, tiene su sede en Bad Säckingen, en el sur de Alemania. VITA desarrolla, produce y comercializa desde hace más de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150 países.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empresa familiar del sector dental VITA Zahnfabrik H. Rauter GmbH &amp; Co. KG, gestionada por la cuarta generación, tiene su sede en Bad Säckingen, en el sur de Alemania. VITA desarrolla, produce y comercializa desde hace más de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150 países.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31845" w14:textId="77777777" w:rsidR="00495A16" w:rsidRPr="009547C7" w:rsidRDefault="00495A16" w:rsidP="00604131">
      <w:r w:rsidRPr="009547C7">
        <w:separator/>
      </w:r>
    </w:p>
    <w:p w14:paraId="4A17156A" w14:textId="77777777" w:rsidR="00495A16" w:rsidRPr="009547C7" w:rsidRDefault="00495A16" w:rsidP="00604131"/>
  </w:endnote>
  <w:endnote w:type="continuationSeparator" w:id="0">
    <w:p w14:paraId="184145F5" w14:textId="77777777" w:rsidR="00495A16" w:rsidRPr="009547C7" w:rsidRDefault="00495A16" w:rsidP="00604131">
      <w:r w:rsidRPr="009547C7">
        <w:continuationSeparator/>
      </w:r>
    </w:p>
    <w:p w14:paraId="1B258A78" w14:textId="77777777" w:rsidR="00495A16" w:rsidRPr="009547C7" w:rsidRDefault="00495A16" w:rsidP="00604131"/>
  </w:endnote>
  <w:endnote w:type="continuationNotice" w:id="1">
    <w:p w14:paraId="01340996" w14:textId="77777777" w:rsidR="00495A16" w:rsidRPr="009547C7" w:rsidRDefault="00495A1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RR. PP. y Comunicación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RR. PP. y Comunicación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RR. PP. y Comunicación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Si tiene cualquier pregunta, diríjase a:</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RR. PP. y Comunicación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D5587F" w14:textId="77777777" w:rsidR="00495A16" w:rsidRPr="009547C7" w:rsidRDefault="00495A16" w:rsidP="00604131">
      <w:r w:rsidRPr="009547C7">
        <w:separator/>
      </w:r>
    </w:p>
    <w:p w14:paraId="74B0F3C0" w14:textId="77777777" w:rsidR="00495A16" w:rsidRPr="009547C7" w:rsidRDefault="00495A16" w:rsidP="00604131"/>
  </w:footnote>
  <w:footnote w:type="continuationSeparator" w:id="0">
    <w:p w14:paraId="37C18EB4" w14:textId="77777777" w:rsidR="00495A16" w:rsidRPr="009547C7" w:rsidRDefault="00495A16" w:rsidP="00604131">
      <w:r w:rsidRPr="009547C7">
        <w:continuationSeparator/>
      </w:r>
    </w:p>
    <w:p w14:paraId="178C52FB" w14:textId="77777777" w:rsidR="00495A16" w:rsidRPr="009547C7" w:rsidRDefault="00495A16" w:rsidP="00604131"/>
  </w:footnote>
  <w:footnote w:type="continuationNotice" w:id="1">
    <w:p w14:paraId="3717E1AC" w14:textId="77777777" w:rsidR="00495A16" w:rsidRPr="009547C7" w:rsidRDefault="00495A1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48D"/>
    <w:rsid w:val="000029FE"/>
    <w:rsid w:val="00002A79"/>
    <w:rsid w:val="00003243"/>
    <w:rsid w:val="00003FF6"/>
    <w:rsid w:val="00012232"/>
    <w:rsid w:val="00016883"/>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568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3359"/>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0646"/>
    <w:rsid w:val="00251952"/>
    <w:rsid w:val="00251D81"/>
    <w:rsid w:val="00256813"/>
    <w:rsid w:val="0026245E"/>
    <w:rsid w:val="00263C38"/>
    <w:rsid w:val="00263F8F"/>
    <w:rsid w:val="00265256"/>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2627"/>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A16"/>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219"/>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1950"/>
    <w:rsid w:val="006136B7"/>
    <w:rsid w:val="00614A58"/>
    <w:rsid w:val="0061538D"/>
    <w:rsid w:val="00615490"/>
    <w:rsid w:val="006160CA"/>
    <w:rsid w:val="006164C7"/>
    <w:rsid w:val="00616E3B"/>
    <w:rsid w:val="0061729D"/>
    <w:rsid w:val="006176C5"/>
    <w:rsid w:val="00617CA6"/>
    <w:rsid w:val="006248E9"/>
    <w:rsid w:val="0062599B"/>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4969"/>
    <w:rsid w:val="006C52B1"/>
    <w:rsid w:val="006C5B8C"/>
    <w:rsid w:val="006D05A2"/>
    <w:rsid w:val="006D2F36"/>
    <w:rsid w:val="006D6694"/>
    <w:rsid w:val="006D7F29"/>
    <w:rsid w:val="006E01CF"/>
    <w:rsid w:val="006E29B6"/>
    <w:rsid w:val="006E3308"/>
    <w:rsid w:val="006E45CF"/>
    <w:rsid w:val="006E62FC"/>
    <w:rsid w:val="006E6919"/>
    <w:rsid w:val="006E752F"/>
    <w:rsid w:val="006F0372"/>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67DBB"/>
    <w:rsid w:val="00870E93"/>
    <w:rsid w:val="00872225"/>
    <w:rsid w:val="00872991"/>
    <w:rsid w:val="00874A48"/>
    <w:rsid w:val="00876DA4"/>
    <w:rsid w:val="00877C97"/>
    <w:rsid w:val="00880156"/>
    <w:rsid w:val="00880161"/>
    <w:rsid w:val="00880879"/>
    <w:rsid w:val="00882BC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27729"/>
    <w:rsid w:val="009322BA"/>
    <w:rsid w:val="00933D6E"/>
    <w:rsid w:val="0093683C"/>
    <w:rsid w:val="00936BAB"/>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2C6"/>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5C"/>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24BD"/>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3AA4"/>
    <w:rsid w:val="00E350B7"/>
    <w:rsid w:val="00E43249"/>
    <w:rsid w:val="00E433F4"/>
    <w:rsid w:val="00E434D2"/>
    <w:rsid w:val="00E43BD9"/>
    <w:rsid w:val="00E44E63"/>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4A1"/>
    <w:rsid w:val="00ED7C57"/>
    <w:rsid w:val="00EE0A1C"/>
    <w:rsid w:val="00EE0EF6"/>
    <w:rsid w:val="00EE1086"/>
    <w:rsid w:val="00EE39DB"/>
    <w:rsid w:val="00EE5A16"/>
    <w:rsid w:val="00EF0751"/>
    <w:rsid w:val="00EF08EF"/>
    <w:rsid w:val="00EF2386"/>
    <w:rsid w:val="00EF2F56"/>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0FD1"/>
    <w:rsid w:val="00FB1BB3"/>
    <w:rsid w:val="00FB3A17"/>
    <w:rsid w:val="00FB61C9"/>
    <w:rsid w:val="00FB6F45"/>
    <w:rsid w:val="00FC0AFD"/>
    <w:rsid w:val="00FC10F7"/>
    <w:rsid w:val="00FC2124"/>
    <w:rsid w:val="00FC2DC3"/>
    <w:rsid w:val="00FC3484"/>
    <w:rsid w:val="00FC4300"/>
    <w:rsid w:val="00FC4B23"/>
    <w:rsid w:val="00FC5F79"/>
    <w:rsid w:val="00FD0049"/>
    <w:rsid w:val="00FD0D60"/>
    <w:rsid w:val="00FD2F2F"/>
    <w:rsid w:val="00FD55C7"/>
    <w:rsid w:val="00FD61E4"/>
    <w:rsid w:val="00FD68AD"/>
    <w:rsid w:val="00FD7B23"/>
    <w:rsid w:val="00FD7D4C"/>
    <w:rsid w:val="00FE03A0"/>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akzentlc_hub"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261</Words>
  <Characters>1646</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2026-01-27T16:11:00Z</dcterms:created>
  <dcterms:modified xsi:type="dcterms:W3CDTF">2026-03-30T13:19:00Z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